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CE54F">
      <w:pPr>
        <w:pStyle w:val="4"/>
        <w:rPr>
          <w:rFonts w:hint="eastAsia"/>
        </w:rPr>
      </w:pPr>
      <w:r>
        <w:rPr>
          <w:rFonts w:hint="eastAsia"/>
        </w:rPr>
        <w:t>附件1</w:t>
      </w:r>
    </w:p>
    <w:p w14:paraId="5385E848">
      <w:pPr>
        <w:pStyle w:val="4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培训日程</w:t>
      </w:r>
    </w:p>
    <w:tbl>
      <w:tblPr>
        <w:tblStyle w:val="2"/>
        <w:tblpPr w:leftFromText="180" w:rightFromText="180" w:vertAnchor="text" w:horzAnchor="page" w:tblpX="1679" w:tblpY="1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4"/>
        <w:gridCol w:w="6008"/>
      </w:tblGrid>
      <w:tr w14:paraId="7E2CBE62">
        <w:trPr>
          <w:trHeight w:val="607" w:hRule="atLeast"/>
        </w:trPr>
        <w:tc>
          <w:tcPr>
            <w:tcW w:w="8647" w:type="dxa"/>
            <w:gridSpan w:val="2"/>
            <w:shd w:val="clear" w:color="auto" w:fill="FEF2CA" w:themeFill="accent3" w:themeFillTint="33"/>
            <w:vAlign w:val="center"/>
          </w:tcPr>
          <w:p w14:paraId="532CF12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2026年11月7日  北京门头沟假日酒店19层永定厅</w:t>
            </w:r>
          </w:p>
        </w:tc>
      </w:tr>
      <w:tr w14:paraId="4BB45F15">
        <w:trPr>
          <w:trHeight w:val="607" w:hRule="atLeast"/>
        </w:trPr>
        <w:tc>
          <w:tcPr>
            <w:tcW w:w="2546" w:type="dxa"/>
            <w:vAlign w:val="center"/>
          </w:tcPr>
          <w:p w14:paraId="1590A58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08:30－09:00</w:t>
            </w:r>
          </w:p>
        </w:tc>
        <w:tc>
          <w:tcPr>
            <w:tcW w:w="6101" w:type="dxa"/>
            <w:vAlign w:val="center"/>
          </w:tcPr>
          <w:p w14:paraId="692BADB8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开幕式致辞</w:t>
            </w:r>
          </w:p>
        </w:tc>
      </w:tr>
      <w:tr w14:paraId="286E84C2">
        <w:trPr>
          <w:trHeight w:val="607" w:hRule="atLeast"/>
        </w:trPr>
        <w:tc>
          <w:tcPr>
            <w:tcW w:w="2546" w:type="dxa"/>
            <w:vAlign w:val="center"/>
          </w:tcPr>
          <w:p w14:paraId="61B09067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09:00－10:00</w:t>
            </w:r>
          </w:p>
        </w:tc>
        <w:tc>
          <w:tcPr>
            <w:tcW w:w="6101" w:type="dxa"/>
            <w:vAlign w:val="center"/>
          </w:tcPr>
          <w:p w14:paraId="4DA0AF36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临床基因扩增检验实验室技术审核</w:t>
            </w:r>
          </w:p>
        </w:tc>
      </w:tr>
      <w:tr w14:paraId="2D717AB3">
        <w:trPr>
          <w:trHeight w:val="607" w:hRule="atLeast"/>
        </w:trPr>
        <w:tc>
          <w:tcPr>
            <w:tcW w:w="2546" w:type="dxa"/>
            <w:vAlign w:val="center"/>
          </w:tcPr>
          <w:p w14:paraId="32E7CDA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10:00－11:00</w:t>
            </w:r>
          </w:p>
        </w:tc>
        <w:tc>
          <w:tcPr>
            <w:tcW w:w="6101" w:type="dxa"/>
            <w:vAlign w:val="center"/>
          </w:tcPr>
          <w:p w14:paraId="01C9954E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临床分子诊断实验室的风险点与风险评估</w:t>
            </w:r>
          </w:p>
        </w:tc>
      </w:tr>
      <w:tr w14:paraId="66CB80A9">
        <w:trPr>
          <w:trHeight w:val="607" w:hRule="atLeast"/>
        </w:trPr>
        <w:tc>
          <w:tcPr>
            <w:tcW w:w="2546" w:type="dxa"/>
            <w:vAlign w:val="center"/>
          </w:tcPr>
          <w:p w14:paraId="757CE2B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11:00－12:00</w:t>
            </w:r>
          </w:p>
        </w:tc>
        <w:tc>
          <w:tcPr>
            <w:tcW w:w="6101" w:type="dxa"/>
            <w:vAlign w:val="center"/>
          </w:tcPr>
          <w:p w14:paraId="5311A3F3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核酸生化基础</w:t>
            </w:r>
          </w:p>
        </w:tc>
      </w:tr>
      <w:tr w14:paraId="261F4231">
        <w:trPr>
          <w:trHeight w:val="607" w:hRule="atLeast"/>
        </w:trPr>
        <w:tc>
          <w:tcPr>
            <w:tcW w:w="2546" w:type="dxa"/>
            <w:vAlign w:val="center"/>
          </w:tcPr>
          <w:p w14:paraId="2813B60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13:30－14:30</w:t>
            </w:r>
          </w:p>
        </w:tc>
        <w:tc>
          <w:tcPr>
            <w:tcW w:w="6101" w:type="dxa"/>
            <w:vAlign w:val="center"/>
          </w:tcPr>
          <w:p w14:paraId="1739F957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实时荧光PCR—原理、影响因素和质量</w:t>
            </w:r>
          </w:p>
        </w:tc>
      </w:tr>
      <w:tr w14:paraId="7C4FF99A">
        <w:trPr>
          <w:trHeight w:val="607" w:hRule="atLeast"/>
        </w:trPr>
        <w:tc>
          <w:tcPr>
            <w:tcW w:w="2546" w:type="dxa"/>
            <w:vAlign w:val="center"/>
          </w:tcPr>
          <w:p w14:paraId="183B258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14:30－15:30</w:t>
            </w:r>
          </w:p>
        </w:tc>
        <w:tc>
          <w:tcPr>
            <w:tcW w:w="6101" w:type="dxa"/>
            <w:vAlign w:val="center"/>
          </w:tcPr>
          <w:p w14:paraId="301A4EDB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分子检测分析前质量控制</w:t>
            </w:r>
          </w:p>
        </w:tc>
      </w:tr>
      <w:tr w14:paraId="5CEC1D3F">
        <w:trPr>
          <w:trHeight w:val="559" w:hRule="atLeast"/>
        </w:trPr>
        <w:tc>
          <w:tcPr>
            <w:tcW w:w="2546" w:type="dxa"/>
            <w:vAlign w:val="center"/>
          </w:tcPr>
          <w:p w14:paraId="2327852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15:30－16:30</w:t>
            </w:r>
          </w:p>
        </w:tc>
        <w:tc>
          <w:tcPr>
            <w:tcW w:w="6101" w:type="dxa"/>
            <w:vAlign w:val="center"/>
          </w:tcPr>
          <w:p w14:paraId="3E2CEF7B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核酸提取纯化操作要点与质量控制</w:t>
            </w:r>
          </w:p>
        </w:tc>
      </w:tr>
      <w:tr w14:paraId="5F97A9E1">
        <w:trPr>
          <w:trHeight w:val="607" w:hRule="atLeast"/>
        </w:trPr>
        <w:tc>
          <w:tcPr>
            <w:tcW w:w="2546" w:type="dxa"/>
            <w:vAlign w:val="center"/>
          </w:tcPr>
          <w:p w14:paraId="692AD26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16:30－17:30</w:t>
            </w:r>
          </w:p>
        </w:tc>
        <w:tc>
          <w:tcPr>
            <w:tcW w:w="6101" w:type="dxa"/>
            <w:vAlign w:val="center"/>
          </w:tcPr>
          <w:p w14:paraId="2AD59A92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基因扩增实验室常见仪器设备的使用与维护</w:t>
            </w:r>
          </w:p>
        </w:tc>
      </w:tr>
      <w:tr w14:paraId="046BDAE9">
        <w:trPr>
          <w:trHeight w:val="607" w:hRule="atLeast"/>
        </w:trPr>
        <w:tc>
          <w:tcPr>
            <w:tcW w:w="8647" w:type="dxa"/>
            <w:gridSpan w:val="2"/>
            <w:shd w:val="clear" w:color="auto" w:fill="FEF2CA" w:themeFill="accent3" w:themeFillTint="33"/>
            <w:vAlign w:val="center"/>
          </w:tcPr>
          <w:p w14:paraId="585D0A9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2026年11月8日  北京门头沟假日酒店19层永定厅</w:t>
            </w:r>
          </w:p>
        </w:tc>
      </w:tr>
      <w:tr w14:paraId="11AFC90D">
        <w:trPr>
          <w:trHeight w:val="607" w:hRule="atLeast"/>
        </w:trPr>
        <w:tc>
          <w:tcPr>
            <w:tcW w:w="2546" w:type="dxa"/>
            <w:vAlign w:val="center"/>
          </w:tcPr>
          <w:p w14:paraId="38B9DBE3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08:30－09:30</w:t>
            </w:r>
          </w:p>
        </w:tc>
        <w:tc>
          <w:tcPr>
            <w:tcW w:w="6101" w:type="dxa"/>
            <w:vAlign w:val="center"/>
          </w:tcPr>
          <w:p w14:paraId="4D3552A1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AI质量控制方案在基层分子检测中的应用</w:t>
            </w:r>
          </w:p>
        </w:tc>
      </w:tr>
      <w:tr w14:paraId="11016E05">
        <w:trPr>
          <w:trHeight w:val="607" w:hRule="atLeast"/>
        </w:trPr>
        <w:tc>
          <w:tcPr>
            <w:tcW w:w="2546" w:type="dxa"/>
            <w:vAlign w:val="center"/>
          </w:tcPr>
          <w:p w14:paraId="1FC0B40B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09:30－10:30</w:t>
            </w:r>
          </w:p>
        </w:tc>
        <w:tc>
          <w:tcPr>
            <w:tcW w:w="6101" w:type="dxa"/>
            <w:vAlign w:val="center"/>
          </w:tcPr>
          <w:p w14:paraId="3EC7C5F0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病原微生物分子检测临床应用</w:t>
            </w:r>
          </w:p>
        </w:tc>
      </w:tr>
      <w:tr w14:paraId="6F40BE40">
        <w:trPr>
          <w:trHeight w:val="607" w:hRule="atLeast"/>
        </w:trPr>
        <w:tc>
          <w:tcPr>
            <w:tcW w:w="2546" w:type="dxa"/>
            <w:vAlign w:val="center"/>
          </w:tcPr>
          <w:p w14:paraId="7EE6638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10:30－11:30</w:t>
            </w:r>
          </w:p>
        </w:tc>
        <w:tc>
          <w:tcPr>
            <w:tcW w:w="6101" w:type="dxa"/>
            <w:vAlign w:val="center"/>
          </w:tcPr>
          <w:p w14:paraId="6784DDE0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实验室生物安全管理实操与应急处置流程</w:t>
            </w:r>
          </w:p>
        </w:tc>
      </w:tr>
      <w:tr w14:paraId="6682B3D8">
        <w:trPr>
          <w:trHeight w:val="607" w:hRule="atLeast"/>
        </w:trPr>
        <w:tc>
          <w:tcPr>
            <w:tcW w:w="2546" w:type="dxa"/>
            <w:vAlign w:val="center"/>
          </w:tcPr>
          <w:p w14:paraId="21CFA253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11:30－12:00</w:t>
            </w:r>
          </w:p>
        </w:tc>
        <w:tc>
          <w:tcPr>
            <w:tcW w:w="6101" w:type="dxa"/>
            <w:vAlign w:val="center"/>
          </w:tcPr>
          <w:p w14:paraId="35931468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考试说明</w:t>
            </w:r>
          </w:p>
        </w:tc>
      </w:tr>
      <w:tr w14:paraId="7D00E64F">
        <w:trPr>
          <w:trHeight w:val="607" w:hRule="atLeast"/>
        </w:trPr>
        <w:tc>
          <w:tcPr>
            <w:tcW w:w="2546" w:type="dxa"/>
            <w:vAlign w:val="center"/>
          </w:tcPr>
          <w:p w14:paraId="3F3A4C0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13:30－14:30</w:t>
            </w:r>
          </w:p>
        </w:tc>
        <w:tc>
          <w:tcPr>
            <w:tcW w:w="6101" w:type="dxa"/>
            <w:vAlign w:val="center"/>
          </w:tcPr>
          <w:p w14:paraId="3A843563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临床基因扩增检测质量保证</w:t>
            </w:r>
          </w:p>
        </w:tc>
      </w:tr>
      <w:tr w14:paraId="5766C2FA">
        <w:trPr>
          <w:trHeight w:val="607" w:hRule="atLeast"/>
        </w:trPr>
        <w:tc>
          <w:tcPr>
            <w:tcW w:w="2546" w:type="dxa"/>
            <w:vAlign w:val="center"/>
          </w:tcPr>
          <w:p w14:paraId="2690729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14:30－15:30</w:t>
            </w:r>
          </w:p>
        </w:tc>
        <w:tc>
          <w:tcPr>
            <w:tcW w:w="6101" w:type="dxa"/>
            <w:vAlign w:val="center"/>
          </w:tcPr>
          <w:p w14:paraId="0E89CC14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临床基因扩增实验室核酸污染与预防措施</w:t>
            </w:r>
          </w:p>
        </w:tc>
      </w:tr>
      <w:tr w14:paraId="2580857B">
        <w:trPr>
          <w:trHeight w:val="607" w:hRule="atLeast"/>
        </w:trPr>
        <w:tc>
          <w:tcPr>
            <w:tcW w:w="2546" w:type="dxa"/>
            <w:vAlign w:val="center"/>
          </w:tcPr>
          <w:p w14:paraId="1C52D50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15:30－16:30</w:t>
            </w:r>
          </w:p>
        </w:tc>
        <w:tc>
          <w:tcPr>
            <w:tcW w:w="6101" w:type="dxa"/>
            <w:vAlign w:val="center"/>
          </w:tcPr>
          <w:p w14:paraId="30C23538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病原体核酸快速检测技术应用与操作规范</w:t>
            </w:r>
          </w:p>
        </w:tc>
      </w:tr>
      <w:tr w14:paraId="11D3C08E">
        <w:trPr>
          <w:trHeight w:val="607" w:hRule="atLeast"/>
        </w:trPr>
        <w:tc>
          <w:tcPr>
            <w:tcW w:w="2546" w:type="dxa"/>
            <w:vAlign w:val="center"/>
          </w:tcPr>
          <w:p w14:paraId="4E8D74E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16:30－17:30</w:t>
            </w:r>
          </w:p>
        </w:tc>
        <w:tc>
          <w:tcPr>
            <w:tcW w:w="6101" w:type="dxa"/>
            <w:vAlign w:val="center"/>
          </w:tcPr>
          <w:p w14:paraId="23C9DA98">
            <w:pP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</w:tr>
    </w:tbl>
    <w:p w14:paraId="26ECF32F"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FF3FD1"/>
    <w:rsid w:val="DBFF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2026-10-27T10:29:00Z</dcterms:created>
  <dc:creator>《博乐·Y》</dc:creator>
  <cp:lastModifiedBy>《博乐·Y》</cp:lastModifiedBy>
  <dcterms:modified xsi:type="dcterms:W3CDTF">2026-10-27T10:30:34Z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7EFFAF864D69EC42A60CE06A6F878384_41</vt:lpwstr>
  </property>
</Properties>
</file>